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70080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1、纤维含量100%聚酯纤维</w:t>
      </w:r>
    </w:p>
    <w:p w14:paraId="56955FB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2、甲醛含量mg/kg≤300 符合GB/T2912.1-200 </w:t>
      </w:r>
    </w:p>
    <w:p w14:paraId="54CD795C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3、pH值4.0~9.0 符合GB/T7573-2009</w:t>
      </w:r>
    </w:p>
    <w:p w14:paraId="0D0C23B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4、异味：无异味符合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GB18401-20106</w:t>
      </w:r>
    </w:p>
    <w:p w14:paraId="5D19065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5、可分解致癌芳香胺染料mg/kg≤20符合GB/T17592-2011GB/T23344-2009</w:t>
      </w:r>
    </w:p>
    <w:p w14:paraId="0BDD25F8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6、水洗尺寸变化率直向%-5.0~+2.0-0.4符合GB/T8628-2013,横向%-5.0~+2.0-1.4GB/T8629-2001GB/T8630-2013涤程序5A，</w:t>
      </w:r>
    </w:p>
    <w:p w14:paraId="0B72A54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7、悬挂晾耐水色牢度变色级4-5符合GB/T5713-2013</w:t>
      </w:r>
    </w:p>
    <w:p w14:paraId="0A9C857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、不低于B1级，阻燃符合标准GB8624-2012。落物符合GB/T5455-2014、符合GB/T5454-1997。</w:t>
      </w:r>
    </w:p>
    <w:p w14:paraId="4FD3E0D1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、面料色牢度：耐水色牢度:符合≥4级，检测标准GB/T5713-2013。耐干摩擦色牢度：≥4级，检测结果符合GB/T 3920-2008。耐湿摩擦色牢度：≥4级，检测结果符合GB/T 3920-2008。耐皂洗色牢度：≥4级检测结果符合GB/T 3921-2008。</w:t>
      </w:r>
    </w:p>
    <w:p w14:paraId="0CB348D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、抗菌效果符合GB/T20944.3-2008抑菌率:金黄色葡萄球菌≥95%，大肠杆菌 ≥90%,白色念珠菌≥90%。</w:t>
      </w:r>
    </w:p>
    <w:p w14:paraId="13E746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、断裂强力：经向≥800，纬向：≥500；检测标准GB/T3923.1-2013、 GB/T31899-2015。</w:t>
      </w:r>
    </w:p>
    <w:p w14:paraId="33A9DE4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、遮光度大于等于90%。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45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2026-04-08T07:43:41Z</dcterms:created>
  <dc:creator>Administrator</dc:creator>
  <cp:lastModifiedBy>傲气如年</cp:lastModifiedBy>
  <dcterms:modified xsi:type="dcterms:W3CDTF">2026-04-08T07:44:30Z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eyJoZGlkIjoiNDgzNDA1M2JkODJkZmJmMzNiMmZmNzk5Nzk3NzEyMDAiLCJ1c2VySWQiOiI0NjI5MTEwNjMifQ==</vt:lpwstr>
  </property>
  <property fmtid="{D5CDD505-2E9C-101B-9397-08002B2CF9AE}" pid="4" name="ICV">
    <vt:lpwstr>63B368DDD2CE4D219315A622AAC1D62D_12</vt:lpwstr>
  </property>
</Properties>
</file>